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before="500"/>
      </w:pPr>
    </w:p>
    <w:p>
      <w:pPr>
        <w:spacing w:after="500"/>
        <w:jc w:val="center"/>
      </w:pPr>
      <w:r>
        <w:drawing>
          <wp:inline distT="0" distB="0" distL="0" distR="0">
            <wp:extent cx="3619500" cy="571500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Bdr>
          <w:top w:val="single" w:color="C0752B" w:sz="12" w:space="10"/>
          <w:bottom w:val="single" w:color="C0752B" w:sz="12" w:space="10"/>
        </w:pBdr>
        <w:spacing w:after="360" w:before="360"/>
        <w:jc w:val="center"/>
      </w:pPr>
      <w:r>
        <w:rPr>
          <w:rFonts w:ascii="Calibri" w:cs="Calibri" w:eastAsia="Calibri" w:hAnsi="Calibri"/>
          <w:b/>
          <w:bCs/>
          <w:color w:val="C0752B"/>
          <w:sz w:val="40"/>
          <w:szCs w:val="40"/>
        </w:rPr>
        <w:t xml:space="preserve">ACCOUNTING &amp; GST COURSE</w:t>
      </w:r>
    </w:p>
    <w:p>
      <w:pPr>
        <w:spacing w:after="500"/>
        <w:jc w:val="center"/>
      </w:pPr>
      <w:r>
        <w:rPr>
          <w:rFonts w:ascii="Calibri" w:cs="Calibri" w:eastAsia="Calibri" w:hAnsi="Calibri"/>
          <w:b/>
          <w:bCs/>
          <w:color w:val="0F2440"/>
          <w:sz w:val="26"/>
          <w:szCs w:val="26"/>
        </w:rPr>
        <w:t xml:space="preserve">Short Notes</w:t>
      </w:r>
    </w:p>
    <w:p>
      <w:pPr>
        <w:jc w:val="center"/>
      </w:pPr>
      <w:r>
        <w:rPr>
          <w:rFonts w:ascii="Calibri" w:cs="Calibri" w:eastAsia="Calibri" w:hAnsi="Calibri"/>
          <w:i/>
          <w:iCs/>
          <w:color w:val="444444"/>
          <w:sz w:val="19"/>
          <w:szCs w:val="19"/>
        </w:rPr>
        <w:t xml:space="preserve">Topic Introduction &amp; Types only</w:t>
      </w:r>
    </w:p>
    <w:p>
      <w:r>
        <w:br w:type="page"/>
      </w:r>
    </w:p>
    <w:p>
      <w:pPr>
        <w:pStyle w:val="Heading1"/>
        <w:pBdr>
          <w:bottom w:val="single" w:color="C0752B" w:sz="8" w:space="4"/>
        </w:pBdr>
        <w:spacing w:after="100" w:before="260"/>
      </w:pPr>
      <w:r>
        <w:rPr>
          <w:rFonts w:ascii="Calibri" w:cs="Calibri" w:eastAsia="Calibri" w:hAnsi="Calibri"/>
          <w:b/>
          <w:bCs/>
          <w:color w:val="1B3A6B"/>
          <w:sz w:val="26"/>
          <w:szCs w:val="26"/>
        </w:rPr>
        <w:t xml:space="preserve">1. Accounting</w:t>
      </w:r>
    </w:p>
    <w:p>
      <w:pPr>
        <w:spacing w:after="6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Introduction:</w:t>
      </w:r>
      <w:r>
        <w:rPr>
          <w:rFonts w:ascii="Calibri" w:cs="Calibri" w:eastAsia="Calibri" w:hAnsi="Calibri"/>
          <w:color w:val="444444"/>
          <w:sz w:val="20"/>
          <w:szCs w:val="20"/>
        </w:rPr>
        <w:t xml:space="preserve"> The process of recording, classifying, and summarising financial transactions of a business.</w:t>
      </w:r>
    </w:p>
    <w:p>
      <w:pPr>
        <w:spacing w:after="40" w:before="4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Types: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Financial Accounting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Cost Accounting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Management Accounting</w:t>
      </w:r>
    </w:p>
    <w:p>
      <w:pPr>
        <w:pStyle w:val="Heading1"/>
        <w:pBdr>
          <w:bottom w:val="single" w:color="C0752B" w:sz="8" w:space="4"/>
        </w:pBdr>
        <w:spacing w:after="100" w:before="260"/>
      </w:pPr>
      <w:r>
        <w:rPr>
          <w:rFonts w:ascii="Calibri" w:cs="Calibri" w:eastAsia="Calibri" w:hAnsi="Calibri"/>
          <w:b/>
          <w:bCs/>
          <w:color w:val="1B3A6B"/>
          <w:sz w:val="26"/>
          <w:szCs w:val="26"/>
        </w:rPr>
        <w:t xml:space="preserve">2. Book-Keeping</w:t>
      </w:r>
    </w:p>
    <w:p>
      <w:pPr>
        <w:spacing w:after="6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Introduction:</w:t>
      </w:r>
      <w:r>
        <w:rPr>
          <w:rFonts w:ascii="Calibri" w:cs="Calibri" w:eastAsia="Calibri" w:hAnsi="Calibri"/>
          <w:color w:val="444444"/>
          <w:sz w:val="20"/>
          <w:szCs w:val="20"/>
        </w:rPr>
        <w:t xml:space="preserve"> The day-to-day recording of financial transactions in a systematic manner.</w:t>
      </w:r>
    </w:p>
    <w:p>
      <w:pPr>
        <w:spacing w:after="40" w:before="4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Types: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Single Entry System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Double Entry System</w:t>
      </w:r>
    </w:p>
    <w:p>
      <w:pPr>
        <w:pStyle w:val="Heading1"/>
        <w:pBdr>
          <w:bottom w:val="single" w:color="C0752B" w:sz="8" w:space="4"/>
        </w:pBdr>
        <w:spacing w:after="100" w:before="260"/>
      </w:pPr>
      <w:r>
        <w:rPr>
          <w:rFonts w:ascii="Calibri" w:cs="Calibri" w:eastAsia="Calibri" w:hAnsi="Calibri"/>
          <w:b/>
          <w:bCs/>
          <w:color w:val="1B3A6B"/>
          <w:sz w:val="26"/>
          <w:szCs w:val="26"/>
        </w:rPr>
        <w:t xml:space="preserve">3. Types of Accounts</w:t>
      </w:r>
    </w:p>
    <w:p>
      <w:pPr>
        <w:spacing w:after="6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Introduction:</w:t>
      </w:r>
      <w:r>
        <w:rPr>
          <w:rFonts w:ascii="Calibri" w:cs="Calibri" w:eastAsia="Calibri" w:hAnsi="Calibri"/>
          <w:color w:val="444444"/>
          <w:sz w:val="20"/>
          <w:szCs w:val="20"/>
        </w:rPr>
        <w:t xml:space="preserve"> Every transaction affects an account, which is classified under one of three heads.</w:t>
      </w:r>
    </w:p>
    <w:p>
      <w:pPr>
        <w:spacing w:after="40" w:before="4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Types: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Personal Account – related to persons/firms (e.g. Debtors, Creditors)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Real Account – related to assets/properties (e.g. Cash, Machinery)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Nominal Account – related to expenses/incomes (e.g. Rent, Salary, Commission)</w:t>
      </w:r>
    </w:p>
    <w:p>
      <w:pPr>
        <w:pStyle w:val="Heading1"/>
        <w:pBdr>
          <w:bottom w:val="single" w:color="C0752B" w:sz="8" w:space="4"/>
        </w:pBdr>
        <w:spacing w:after="100" w:before="260"/>
      </w:pPr>
      <w:r>
        <w:rPr>
          <w:rFonts w:ascii="Calibri" w:cs="Calibri" w:eastAsia="Calibri" w:hAnsi="Calibri"/>
          <w:b/>
          <w:bCs/>
          <w:color w:val="1B3A6B"/>
          <w:sz w:val="26"/>
          <w:szCs w:val="26"/>
        </w:rPr>
        <w:t xml:space="preserve">4. Journal</w:t>
      </w:r>
    </w:p>
    <w:p>
      <w:pPr>
        <w:spacing w:after="6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Introduction:</w:t>
      </w:r>
      <w:r>
        <w:rPr>
          <w:rFonts w:ascii="Calibri" w:cs="Calibri" w:eastAsia="Calibri" w:hAnsi="Calibri"/>
          <w:color w:val="444444"/>
          <w:sz w:val="20"/>
          <w:szCs w:val="20"/>
        </w:rPr>
        <w:t xml:space="preserve"> The primary book where transactions are first recorded, in order of date.</w:t>
      </w:r>
    </w:p>
    <w:p>
      <w:pPr>
        <w:spacing w:after="40" w:before="4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Types: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General Journal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Special / Subsidiary Journals (Purchase Book, Sales Book, Cash Book, Return Books, etc.)</w:t>
      </w:r>
    </w:p>
    <w:p>
      <w:pPr>
        <w:pStyle w:val="Heading1"/>
        <w:pBdr>
          <w:bottom w:val="single" w:color="C0752B" w:sz="8" w:space="4"/>
        </w:pBdr>
        <w:spacing w:after="100" w:before="260"/>
      </w:pPr>
      <w:r>
        <w:rPr>
          <w:rFonts w:ascii="Calibri" w:cs="Calibri" w:eastAsia="Calibri" w:hAnsi="Calibri"/>
          <w:b/>
          <w:bCs/>
          <w:color w:val="1B3A6B"/>
          <w:sz w:val="26"/>
          <w:szCs w:val="26"/>
        </w:rPr>
        <w:t xml:space="preserve">5. Ledger</w:t>
      </w:r>
    </w:p>
    <w:p>
      <w:pPr>
        <w:spacing w:after="6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Introduction:</w:t>
      </w:r>
      <w:r>
        <w:rPr>
          <w:rFonts w:ascii="Calibri" w:cs="Calibri" w:eastAsia="Calibri" w:hAnsi="Calibri"/>
          <w:color w:val="444444"/>
          <w:sz w:val="20"/>
          <w:szCs w:val="20"/>
        </w:rPr>
        <w:t xml:space="preserve"> A book that contains all accounts, where journal entries are posted in summarised form.</w:t>
      </w:r>
    </w:p>
    <w:p>
      <w:pPr>
        <w:spacing w:after="40" w:before="4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Types: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General Ledger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Subsidiary Ledger – Debtors Ledger, Creditors Ledger</w:t>
      </w:r>
    </w:p>
    <w:p>
      <w:pPr>
        <w:pStyle w:val="Heading1"/>
        <w:pBdr>
          <w:bottom w:val="single" w:color="C0752B" w:sz="8" w:space="4"/>
        </w:pBdr>
        <w:spacing w:after="100" w:before="260"/>
      </w:pPr>
      <w:r>
        <w:rPr>
          <w:rFonts w:ascii="Calibri" w:cs="Calibri" w:eastAsia="Calibri" w:hAnsi="Calibri"/>
          <w:b/>
          <w:bCs/>
          <w:color w:val="1B3A6B"/>
          <w:sz w:val="26"/>
          <w:szCs w:val="26"/>
        </w:rPr>
        <w:t xml:space="preserve">6. Trial Balance</w:t>
      </w:r>
    </w:p>
    <w:p>
      <w:pPr>
        <w:spacing w:after="6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Introduction:</w:t>
      </w:r>
      <w:r>
        <w:rPr>
          <w:rFonts w:ascii="Calibri" w:cs="Calibri" w:eastAsia="Calibri" w:hAnsi="Calibri"/>
          <w:color w:val="444444"/>
          <w:sz w:val="20"/>
          <w:szCs w:val="20"/>
        </w:rPr>
        <w:t xml:space="preserve"> A statement listing debit and credit balances of all ledger accounts to check accuracy.</w:t>
      </w:r>
    </w:p>
    <w:p>
      <w:pPr>
        <w:spacing w:after="40" w:before="4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Types: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Totals Method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Balance Method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Totals-cum-Balance Method</w:t>
      </w:r>
    </w:p>
    <w:p>
      <w:pPr>
        <w:pStyle w:val="Heading1"/>
        <w:pBdr>
          <w:bottom w:val="single" w:color="C0752B" w:sz="8" w:space="4"/>
        </w:pBdr>
        <w:spacing w:after="100" w:before="260"/>
      </w:pPr>
      <w:r>
        <w:rPr>
          <w:rFonts w:ascii="Calibri" w:cs="Calibri" w:eastAsia="Calibri" w:hAnsi="Calibri"/>
          <w:b/>
          <w:bCs/>
          <w:color w:val="1B3A6B"/>
          <w:sz w:val="26"/>
          <w:szCs w:val="26"/>
        </w:rPr>
        <w:t xml:space="preserve">7. Financial Statements</w:t>
      </w:r>
    </w:p>
    <w:p>
      <w:pPr>
        <w:spacing w:after="6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Introduction:</w:t>
      </w:r>
      <w:r>
        <w:rPr>
          <w:rFonts w:ascii="Calibri" w:cs="Calibri" w:eastAsia="Calibri" w:hAnsi="Calibri"/>
          <w:color w:val="444444"/>
          <w:sz w:val="20"/>
          <w:szCs w:val="20"/>
        </w:rPr>
        <w:t xml:space="preserve"> Reports that show the financial position and performance of a business.</w:t>
      </w:r>
    </w:p>
    <w:p>
      <w:pPr>
        <w:spacing w:after="40" w:before="4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Types: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Trading Account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Profit &amp; Loss Account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Balance Sheet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Cash Flow Statement</w:t>
      </w:r>
    </w:p>
    <w:p>
      <w:pPr>
        <w:pStyle w:val="Heading1"/>
        <w:pBdr>
          <w:bottom w:val="single" w:color="C0752B" w:sz="8" w:space="4"/>
        </w:pBdr>
        <w:spacing w:after="100" w:before="260"/>
      </w:pPr>
      <w:r>
        <w:rPr>
          <w:rFonts w:ascii="Calibri" w:cs="Calibri" w:eastAsia="Calibri" w:hAnsi="Calibri"/>
          <w:b/>
          <w:bCs/>
          <w:color w:val="1B3A6B"/>
          <w:sz w:val="26"/>
          <w:szCs w:val="26"/>
        </w:rPr>
        <w:t xml:space="preserve">8. Taxation</w:t>
      </w:r>
    </w:p>
    <w:p>
      <w:pPr>
        <w:spacing w:after="6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Introduction:</w:t>
      </w:r>
      <w:r>
        <w:rPr>
          <w:rFonts w:ascii="Calibri" w:cs="Calibri" w:eastAsia="Calibri" w:hAnsi="Calibri"/>
          <w:color w:val="444444"/>
          <w:sz w:val="20"/>
          <w:szCs w:val="20"/>
        </w:rPr>
        <w:t xml:space="preserve"> The system by which the government collects money (tax) from individuals and businesses.</w:t>
      </w:r>
    </w:p>
    <w:p>
      <w:pPr>
        <w:spacing w:after="40" w:before="4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Types: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Direct Tax – paid directly by the person/entity (e.g. Income Tax)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Indirect Tax – collected via goods/services (e.g. GST)</w:t>
      </w:r>
    </w:p>
    <w:p>
      <w:pPr>
        <w:pStyle w:val="Heading1"/>
        <w:pBdr>
          <w:bottom w:val="single" w:color="C0752B" w:sz="8" w:space="4"/>
        </w:pBdr>
        <w:spacing w:after="100" w:before="260"/>
      </w:pPr>
      <w:r>
        <w:rPr>
          <w:rFonts w:ascii="Calibri" w:cs="Calibri" w:eastAsia="Calibri" w:hAnsi="Calibri"/>
          <w:b/>
          <w:bCs/>
          <w:color w:val="1B3A6B"/>
          <w:sz w:val="26"/>
          <w:szCs w:val="26"/>
        </w:rPr>
        <w:t xml:space="preserve">9. GST (Goods and Services Tax)</w:t>
      </w:r>
    </w:p>
    <w:p>
      <w:pPr>
        <w:spacing w:after="6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Introduction:</w:t>
      </w:r>
      <w:r>
        <w:rPr>
          <w:rFonts w:ascii="Calibri" w:cs="Calibri" w:eastAsia="Calibri" w:hAnsi="Calibri"/>
          <w:color w:val="444444"/>
          <w:sz w:val="20"/>
          <w:szCs w:val="20"/>
        </w:rPr>
        <w:t xml:space="preserve"> A single indirect tax on the supply of goods and services, replacing older taxes like VAT, Service Tax, and Excise Duty.</w:t>
      </w:r>
    </w:p>
    <w:p>
      <w:pPr>
        <w:spacing w:after="40" w:before="4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Types: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CGST – Central GST (collected by Central Government)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SGST – State GST (collected by State Government)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IGST – Integrated GST (for inter-state supply)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UTGST – Union Territory GST</w:t>
      </w:r>
    </w:p>
    <w:p>
      <w:pPr>
        <w:pStyle w:val="Heading1"/>
        <w:pBdr>
          <w:bottom w:val="single" w:color="C0752B" w:sz="8" w:space="4"/>
        </w:pBdr>
        <w:spacing w:after="100" w:before="260"/>
      </w:pPr>
      <w:r>
        <w:rPr>
          <w:rFonts w:ascii="Calibri" w:cs="Calibri" w:eastAsia="Calibri" w:hAnsi="Calibri"/>
          <w:b/>
          <w:bCs/>
          <w:color w:val="1B3A6B"/>
          <w:sz w:val="26"/>
          <w:szCs w:val="26"/>
        </w:rPr>
        <w:t xml:space="preserve">10. GST Registration</w:t>
      </w:r>
    </w:p>
    <w:p>
      <w:pPr>
        <w:spacing w:after="6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Introduction:</w:t>
      </w:r>
      <w:r>
        <w:rPr>
          <w:rFonts w:ascii="Calibri" w:cs="Calibri" w:eastAsia="Calibri" w:hAnsi="Calibri"/>
          <w:color w:val="444444"/>
          <w:sz w:val="20"/>
          <w:szCs w:val="20"/>
        </w:rPr>
        <w:t xml:space="preserve"> The process by which a business gets recognised under GST law and receives a GSTIN.</w:t>
      </w:r>
    </w:p>
    <w:p>
      <w:pPr>
        <w:spacing w:after="40" w:before="4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Types: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Regular Scheme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Composition Scheme (for small taxpayers)</w:t>
      </w:r>
    </w:p>
    <w:p>
      <w:pPr>
        <w:pStyle w:val="Heading1"/>
        <w:pBdr>
          <w:bottom w:val="single" w:color="C0752B" w:sz="8" w:space="4"/>
        </w:pBdr>
        <w:spacing w:after="100" w:before="260"/>
      </w:pPr>
      <w:r>
        <w:rPr>
          <w:rFonts w:ascii="Calibri" w:cs="Calibri" w:eastAsia="Calibri" w:hAnsi="Calibri"/>
          <w:b/>
          <w:bCs/>
          <w:color w:val="1B3A6B"/>
          <w:sz w:val="26"/>
          <w:szCs w:val="26"/>
        </w:rPr>
        <w:t xml:space="preserve">11. GST Returns</w:t>
      </w:r>
    </w:p>
    <w:p>
      <w:pPr>
        <w:spacing w:after="6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Introduction:</w:t>
      </w:r>
      <w:r>
        <w:rPr>
          <w:rFonts w:ascii="Calibri" w:cs="Calibri" w:eastAsia="Calibri" w:hAnsi="Calibri"/>
          <w:color w:val="444444"/>
          <w:sz w:val="20"/>
          <w:szCs w:val="20"/>
        </w:rPr>
        <w:t xml:space="preserve"> Periodic statements filed by a registered taxpayer showing sales, purchases, and tax paid.</w:t>
      </w:r>
    </w:p>
    <w:p>
      <w:pPr>
        <w:spacing w:after="40" w:before="4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Types: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GSTR-1 – details of outward supplies (sales)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GSTR-3B – monthly summary return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GSTR-4 – for composition scheme taxpayers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GSTR-9 – annual return</w:t>
      </w:r>
    </w:p>
    <w:p>
      <w:pPr>
        <w:pStyle w:val="Heading1"/>
        <w:pBdr>
          <w:bottom w:val="single" w:color="C0752B" w:sz="8" w:space="4"/>
        </w:pBdr>
        <w:spacing w:after="100" w:before="260"/>
      </w:pPr>
      <w:r>
        <w:rPr>
          <w:rFonts w:ascii="Calibri" w:cs="Calibri" w:eastAsia="Calibri" w:hAnsi="Calibri"/>
          <w:b/>
          <w:bCs/>
          <w:color w:val="1B3A6B"/>
          <w:sz w:val="26"/>
          <w:szCs w:val="26"/>
        </w:rPr>
        <w:t xml:space="preserve">12. GST Invoice</w:t>
      </w:r>
    </w:p>
    <w:p>
      <w:pPr>
        <w:spacing w:after="6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Introduction:</w:t>
      </w:r>
      <w:r>
        <w:rPr>
          <w:rFonts w:ascii="Calibri" w:cs="Calibri" w:eastAsia="Calibri" w:hAnsi="Calibri"/>
          <w:color w:val="444444"/>
          <w:sz w:val="20"/>
          <w:szCs w:val="20"/>
        </w:rPr>
        <w:t xml:space="preserve"> A bill issued by a GST-registered seller showing the tax charged on goods/services.</w:t>
      </w:r>
    </w:p>
    <w:p>
      <w:pPr>
        <w:spacing w:after="40" w:before="40"/>
      </w:pPr>
      <w:r>
        <w:rPr>
          <w:rFonts w:ascii="Calibri" w:cs="Calibri" w:eastAsia="Calibri" w:hAnsi="Calibri"/>
          <w:b/>
          <w:bCs/>
          <w:color w:val="0F2440"/>
          <w:sz w:val="20"/>
          <w:szCs w:val="20"/>
        </w:rPr>
        <w:t xml:space="preserve">Types: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Tax Invoice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Bill of Supply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color w:val="444444"/>
          <w:sz w:val="20"/>
          <w:szCs w:val="20"/>
        </w:rPr>
        <w:t xml:space="preserve">Debit Note / Credit Note</w:t>
      </w:r>
    </w:p>
    <w:sectPr>
      <w:headerReference w:type="default" r:id="rId7"/>
      <w:headerReference w:type="first" r:id="rId8"/>
      <w:footerReference w:type="default" r:id="rId9"/>
      <w:pgSz w:w="11907" w:h="16840" w:orient="portrait"/>
      <w:pgMar w:top="1000" w:right="1100" w:bottom="1000" w:left="1100" w:header="708" w:footer="708" w:gutter="0"/>
      <w:pgNumType/>
      <w:titlePg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8A93A3"/>
        <w:sz w:val="16"/>
        <w:szCs w:val="16"/>
      </w:rPr>
      <w:t xml:space="preserve">Page </w:t>
    </w:r>
    <w:r>
      <w:rPr>
        <w:rFonts w:ascii="Calibri" w:cs="Calibri" w:eastAsia="Calibri" w:hAnsi="Calibri"/>
        <w:color w:val="8A93A3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pBdr>
        <w:bottom w:val="single" w:color="C9CFD8" w:sz="4" w:space="4"/>
      </w:pBdr>
      <w:jc w:val="right"/>
    </w:pPr>
    <w:r>
      <w:rPr>
        <w:rFonts w:ascii="Calibri" w:cs="Calibri" w:eastAsia="Calibri" w:hAnsi="Calibri"/>
        <w:color w:val="8A93A3"/>
        <w:sz w:val="16"/>
        <w:szCs w:val="16"/>
      </w:rPr>
      <w:t xml:space="preserve">Accounting &amp; GST Course – Short Notes</w:t>
    </w:r>
    <w:r>
      <w:drawing>
        <wp:anchor distT="0" distB="0" distL="0" distR="0" simplePos="0" allowOverlap="1" behindDoc="1" locked="0" layoutInCell="1" relativeHeight="781050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4953000" cy="781050"/>
          <wp:effectExtent t="0" r="0" b="0" l="0"/>
          <wp:wrapNone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0" cy="781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20" w:hanging="2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image" Target="media/e3cb20bc8ae23514aca585fec81bf31ec8e4fbc6.png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><Relationship Id="rId0" Type="http://schemas.openxmlformats.org/officeDocument/2006/relationships/image" Target="media/0c0db489a38321c302eb59b553d46bb67f73c2f8.png"/></Relationships>
</file>

<file path=word/_rels/header2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2026-08-19T06:48:46.730Z</dcterms:created>
  <dcterms:modified xsi:type="dcterms:W3CDTF">2026-08-19T06:48:46.742Z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